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31F2" w:rsidRDefault="00972512">
      <w:pPr>
        <w:pStyle w:val="normal0"/>
      </w:pPr>
      <w:r>
        <w:rPr>
          <w:sz w:val="20"/>
        </w:rPr>
        <w:t>Dear Rising 7</w:t>
      </w:r>
      <w:r>
        <w:rPr>
          <w:sz w:val="20"/>
          <w:vertAlign w:val="superscript"/>
        </w:rPr>
        <w:t>th</w:t>
      </w:r>
      <w:r>
        <w:rPr>
          <w:sz w:val="20"/>
        </w:rPr>
        <w:t xml:space="preserve"> Grader,</w:t>
      </w:r>
    </w:p>
    <w:p w:rsidR="00AF31F2" w:rsidRDefault="00972512">
      <w:pPr>
        <w:pStyle w:val="normal0"/>
        <w:jc w:val="both"/>
      </w:pPr>
      <w:r>
        <w:rPr>
          <w:sz w:val="20"/>
        </w:rPr>
        <w:t>In an effort to keep your reading skills sharp and to enjoy some really good books over the summer, your assignment is to read at least 2 books from the list below. As you read, we encourage you to annotate each text with the theme of “CHOICES” in mind. At</w:t>
      </w:r>
      <w:r>
        <w:rPr>
          <w:sz w:val="20"/>
        </w:rPr>
        <w:t xml:space="preserve"> the end of September, you will take a formal writing assessment that asks you to identify and analyze the impact of the </w:t>
      </w:r>
      <w:r>
        <w:rPr>
          <w:b/>
          <w:sz w:val="20"/>
        </w:rPr>
        <w:t>choices</w:t>
      </w:r>
      <w:r>
        <w:rPr>
          <w:sz w:val="20"/>
        </w:rPr>
        <w:t xml:space="preserve"> made by characters, individuals, and/or societies you read about over the summer. </w:t>
      </w:r>
    </w:p>
    <w:p w:rsidR="00AF31F2" w:rsidRDefault="00972512">
      <w:pPr>
        <w:pStyle w:val="normal0"/>
        <w:jc w:val="both"/>
      </w:pPr>
      <w:r>
        <w:rPr>
          <w:sz w:val="20"/>
        </w:rPr>
        <w:t>Please don’t worry about the assignment at t</w:t>
      </w:r>
      <w:r>
        <w:rPr>
          <w:sz w:val="20"/>
        </w:rPr>
        <w:t xml:space="preserve">his time! Your Language Arts teacher will spend some time in September helping you to think about and prepare for this assessment. All you have to focus on in the coming weeks is reading your 2 titles, annotating the text, and enjoying your books. You are </w:t>
      </w:r>
      <w:r>
        <w:rPr>
          <w:sz w:val="20"/>
        </w:rPr>
        <w:t xml:space="preserve">permitted to bring your books, as well as your annotations, with you to the assessment on </w:t>
      </w:r>
      <w:r>
        <w:rPr>
          <w:b/>
          <w:sz w:val="20"/>
        </w:rPr>
        <w:t xml:space="preserve">Tuesday, September 16th </w:t>
      </w:r>
      <w:r>
        <w:rPr>
          <w:sz w:val="20"/>
        </w:rPr>
        <w:t>(whether they are electronic or printed versions of each title). A brief annotation guide is included with these instructions to help you thin</w:t>
      </w:r>
      <w:r>
        <w:rPr>
          <w:sz w:val="20"/>
        </w:rPr>
        <w:t>k about the theme of “choices” as you read. You are NOT required to annotate; however, you may find that it will help to focus your reading and will give you great ideas for the writing task in September.</w:t>
      </w:r>
    </w:p>
    <w:p w:rsidR="00AF31F2" w:rsidRDefault="00972512">
      <w:pPr>
        <w:pStyle w:val="normal0"/>
      </w:pPr>
      <w:r>
        <w:rPr>
          <w:b/>
          <w:sz w:val="20"/>
        </w:rPr>
        <w:t>Book Selections</w:t>
      </w:r>
    </w:p>
    <w:p w:rsidR="00AF31F2" w:rsidRDefault="00972512">
      <w:pPr>
        <w:pStyle w:val="normal0"/>
        <w:numPr>
          <w:ilvl w:val="0"/>
          <w:numId w:val="3"/>
        </w:numPr>
        <w:spacing w:after="0"/>
        <w:ind w:hanging="359"/>
        <w:contextualSpacing/>
        <w:jc w:val="both"/>
        <w:rPr>
          <w:sz w:val="20"/>
        </w:rPr>
      </w:pPr>
      <w:r>
        <w:rPr>
          <w:sz w:val="20"/>
          <w:u w:val="single"/>
        </w:rPr>
        <w:t>Every student MUST read the Languag</w:t>
      </w:r>
      <w:r>
        <w:rPr>
          <w:sz w:val="20"/>
          <w:u w:val="single"/>
        </w:rPr>
        <w:t xml:space="preserve">e Arts “Anchor Title,” in addition to </w:t>
      </w:r>
      <w:r>
        <w:rPr>
          <w:sz w:val="20"/>
          <w:u w:val="single"/>
        </w:rPr>
        <w:t>1</w:t>
      </w:r>
      <w:r>
        <w:rPr>
          <w:sz w:val="20"/>
          <w:u w:val="single"/>
        </w:rPr>
        <w:t xml:space="preserve"> more book of </w:t>
      </w:r>
      <w:r>
        <w:rPr>
          <w:sz w:val="20"/>
          <w:u w:val="single"/>
        </w:rPr>
        <w:t>his or her</w:t>
      </w:r>
      <w:r>
        <w:rPr>
          <w:sz w:val="20"/>
          <w:u w:val="single"/>
        </w:rPr>
        <w:t xml:space="preserve"> choosing from the “Interdisciplinary Options”</w:t>
      </w:r>
      <w:r>
        <w:rPr>
          <w:sz w:val="20"/>
        </w:rPr>
        <w:t xml:space="preserve"> (see below).  The anchor title will supply all students with a common text from which to discuss the grade level theme of “choices.” The interdisc</w:t>
      </w:r>
      <w:r>
        <w:rPr>
          <w:sz w:val="20"/>
        </w:rPr>
        <w:t xml:space="preserve">iplinary titles have been chosen specifically with a range of student interests in mind. You may choose any </w:t>
      </w:r>
      <w:r>
        <w:rPr>
          <w:sz w:val="20"/>
        </w:rPr>
        <w:t>title</w:t>
      </w:r>
      <w:r>
        <w:rPr>
          <w:sz w:val="20"/>
        </w:rPr>
        <w:t xml:space="preserve"> from the interdisciplinary options, but remember to be on the lookout for how characters, individuals, and/or societies are impacted by the di</w:t>
      </w:r>
      <w:r>
        <w:rPr>
          <w:sz w:val="20"/>
        </w:rPr>
        <w:t>fferent choices they make.</w:t>
      </w:r>
      <w:r>
        <w:rPr>
          <w:sz w:val="20"/>
        </w:rPr>
        <w:br/>
      </w:r>
    </w:p>
    <w:p w:rsidR="00AF31F2" w:rsidRDefault="00972512">
      <w:pPr>
        <w:pStyle w:val="normal0"/>
        <w:numPr>
          <w:ilvl w:val="0"/>
          <w:numId w:val="3"/>
        </w:numPr>
        <w:ind w:hanging="359"/>
        <w:contextualSpacing/>
        <w:jc w:val="both"/>
        <w:rPr>
          <w:sz w:val="20"/>
        </w:rPr>
      </w:pPr>
      <w:r>
        <w:rPr>
          <w:sz w:val="20"/>
          <w:u w:val="single"/>
        </w:rPr>
        <w:t>Book prices and availability vary by title</w:t>
      </w:r>
      <w:r>
        <w:rPr>
          <w:sz w:val="20"/>
        </w:rPr>
        <w:t xml:space="preserve">. </w:t>
      </w:r>
      <w:r>
        <w:rPr>
          <w:b/>
          <w:sz w:val="20"/>
        </w:rPr>
        <w:t xml:space="preserve">We strongly recommend that you spend time researching titles online before making your final selections. </w:t>
      </w:r>
      <w:r>
        <w:rPr>
          <w:sz w:val="20"/>
        </w:rPr>
        <w:t xml:space="preserve">For instance, you may want to consult </w:t>
      </w:r>
      <w:r>
        <w:rPr>
          <w:i/>
          <w:sz w:val="20"/>
        </w:rPr>
        <w:t>amazon.com</w:t>
      </w:r>
      <w:r>
        <w:rPr>
          <w:sz w:val="20"/>
        </w:rPr>
        <w:t xml:space="preserve"> for summaries, pricing, and av</w:t>
      </w:r>
      <w:r>
        <w:rPr>
          <w:sz w:val="20"/>
        </w:rPr>
        <w:t xml:space="preserve">ailability, as well as </w:t>
      </w:r>
      <w:r>
        <w:rPr>
          <w:i/>
          <w:sz w:val="20"/>
        </w:rPr>
        <w:t>lexile.com</w:t>
      </w:r>
      <w:r>
        <w:rPr>
          <w:sz w:val="20"/>
        </w:rPr>
        <w:t xml:space="preserve"> for more information about the challenge levels of various titles (please note that not all titles can be found on lexile.com).</w:t>
      </w:r>
    </w:p>
    <w:p w:rsidR="00AF31F2" w:rsidRDefault="00972512">
      <w:pPr>
        <w:pStyle w:val="normal0"/>
      </w:pPr>
      <w:r>
        <w:rPr>
          <w:b/>
          <w:sz w:val="20"/>
        </w:rPr>
        <w:t>*** LANGUAGE ARTS ANCHOR TITLE (REQUIRED)</w:t>
      </w:r>
      <w:r>
        <w:rPr>
          <w:sz w:val="20"/>
        </w:rPr>
        <w:t xml:space="preserve">: </w:t>
      </w:r>
      <w:r>
        <w:rPr>
          <w:i/>
          <w:sz w:val="20"/>
        </w:rPr>
        <w:t xml:space="preserve">Tom Sawyer </w:t>
      </w:r>
      <w:r>
        <w:rPr>
          <w:sz w:val="20"/>
        </w:rPr>
        <w:t>(by Mark Twain</w:t>
      </w:r>
      <w:proofErr w:type="gramStart"/>
      <w:r>
        <w:rPr>
          <w:sz w:val="20"/>
        </w:rPr>
        <w:t>)</w:t>
      </w:r>
      <w:proofErr w:type="gramEnd"/>
      <w:r>
        <w:rPr>
          <w:sz w:val="20"/>
        </w:rPr>
        <w:br/>
      </w:r>
      <w:r>
        <w:rPr>
          <w:b/>
          <w:sz w:val="20"/>
        </w:rPr>
        <w:t>*** INTERDISCIPLINARY OP</w:t>
      </w:r>
      <w:r>
        <w:rPr>
          <w:b/>
          <w:sz w:val="20"/>
        </w:rPr>
        <w:t>TIONS (CHOOSE 1 FROM THIS LIST)</w:t>
      </w:r>
      <w:r>
        <w:rPr>
          <w:b/>
          <w:sz w:val="20"/>
        </w:rPr>
        <w:br/>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576"/>
      </w:tblGrid>
      <w:tr w:rsidR="00AF31F2">
        <w:tc>
          <w:tcPr>
            <w:tcW w:w="9576" w:type="dxa"/>
            <w:shd w:val="clear" w:color="auto" w:fill="D9D9D9"/>
            <w:tcMar>
              <w:left w:w="108" w:type="dxa"/>
              <w:right w:w="108" w:type="dxa"/>
            </w:tcMar>
          </w:tcPr>
          <w:p w:rsidR="00AF31F2" w:rsidRDefault="00972512">
            <w:pPr>
              <w:pStyle w:val="normal0"/>
              <w:spacing w:after="0" w:line="240" w:lineRule="auto"/>
              <w:jc w:val="center"/>
            </w:pPr>
            <w:r>
              <w:rPr>
                <w:b/>
                <w:sz w:val="24"/>
              </w:rPr>
              <w:t>CAREER &amp; TECHNICAL EDUCATION (CTE)</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The Jungle</w:t>
            </w:r>
            <w:r>
              <w:rPr>
                <w:sz w:val="20"/>
              </w:rPr>
              <w:t xml:space="preserve"> (Sinclair)</w:t>
            </w:r>
          </w:p>
        </w:tc>
      </w:tr>
      <w:tr w:rsidR="00AF31F2">
        <w:tc>
          <w:tcPr>
            <w:tcW w:w="9576" w:type="dxa"/>
            <w:shd w:val="clear" w:color="auto" w:fill="D9D9D9"/>
            <w:tcMar>
              <w:left w:w="108" w:type="dxa"/>
              <w:right w:w="108" w:type="dxa"/>
            </w:tcMar>
          </w:tcPr>
          <w:p w:rsidR="00AF31F2" w:rsidRDefault="00972512">
            <w:pPr>
              <w:pStyle w:val="normal0"/>
              <w:spacing w:after="0" w:line="240" w:lineRule="auto"/>
              <w:jc w:val="center"/>
            </w:pPr>
            <w:r>
              <w:rPr>
                <w:b/>
                <w:sz w:val="24"/>
              </w:rPr>
              <w:t>FINE ARTS</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Bright Freedom’s Song</w:t>
            </w:r>
            <w:r>
              <w:rPr>
                <w:sz w:val="20"/>
              </w:rPr>
              <w:t xml:space="preserve"> (Houston)</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The Dulcimer Boy</w:t>
            </w:r>
            <w:r>
              <w:rPr>
                <w:sz w:val="20"/>
              </w:rPr>
              <w:t xml:space="preserve"> (</w:t>
            </w:r>
            <w:proofErr w:type="spellStart"/>
            <w:r>
              <w:rPr>
                <w:sz w:val="20"/>
              </w:rPr>
              <w:t>Seidler</w:t>
            </w:r>
            <w:proofErr w:type="spellEnd"/>
            <w:r>
              <w:rPr>
                <w:sz w:val="20"/>
              </w:rPr>
              <w:t>)</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 xml:space="preserve">Flying Colors: The Story of a Remarkable Group of Artists &amp; the Transcendent Power of Art </w:t>
            </w:r>
            <w:r>
              <w:rPr>
                <w:sz w:val="20"/>
              </w:rPr>
              <w:t>(</w:t>
            </w:r>
            <w:proofErr w:type="spellStart"/>
            <w:r>
              <w:rPr>
                <w:sz w:val="20"/>
              </w:rPr>
              <w:t>Lefens</w:t>
            </w:r>
            <w:proofErr w:type="spellEnd"/>
            <w:r>
              <w:rPr>
                <w:sz w:val="20"/>
              </w:rPr>
              <w:t>)</w:t>
            </w:r>
          </w:p>
        </w:tc>
      </w:tr>
      <w:tr w:rsidR="00AF31F2">
        <w:tc>
          <w:tcPr>
            <w:tcW w:w="9576" w:type="dxa"/>
            <w:shd w:val="clear" w:color="auto" w:fill="D9D9D9"/>
            <w:tcMar>
              <w:left w:w="108" w:type="dxa"/>
              <w:right w:w="108" w:type="dxa"/>
            </w:tcMar>
          </w:tcPr>
          <w:p w:rsidR="00AF31F2" w:rsidRDefault="00972512">
            <w:pPr>
              <w:pStyle w:val="normal0"/>
              <w:spacing w:after="0" w:line="240" w:lineRule="auto"/>
              <w:jc w:val="center"/>
            </w:pPr>
            <w:r>
              <w:rPr>
                <w:b/>
                <w:sz w:val="24"/>
              </w:rPr>
              <w:t>MATHEMATICS</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Math Doesn’t Suck: How to Survive Middle School without Losing Your Mind or Breaking a Nail (McKellar)</w:t>
            </w:r>
          </w:p>
        </w:tc>
      </w:tr>
      <w:tr w:rsidR="00AF31F2">
        <w:trPr>
          <w:trHeight w:val="260"/>
        </w:trPr>
        <w:tc>
          <w:tcPr>
            <w:tcW w:w="9576" w:type="dxa"/>
            <w:tcMar>
              <w:left w:w="108" w:type="dxa"/>
              <w:right w:w="108" w:type="dxa"/>
            </w:tcMar>
          </w:tcPr>
          <w:p w:rsidR="00AF31F2" w:rsidRDefault="00972512">
            <w:pPr>
              <w:pStyle w:val="normal0"/>
              <w:spacing w:after="0" w:line="240" w:lineRule="auto"/>
              <w:jc w:val="center"/>
            </w:pPr>
            <w:r>
              <w:rPr>
                <w:i/>
                <w:sz w:val="20"/>
              </w:rPr>
              <w:t>A Mathematical Mosaic</w:t>
            </w:r>
            <w:r>
              <w:rPr>
                <w:sz w:val="20"/>
              </w:rPr>
              <w:t xml:space="preserve"> (</w:t>
            </w:r>
            <w:proofErr w:type="spellStart"/>
            <w:r>
              <w:rPr>
                <w:sz w:val="20"/>
              </w:rPr>
              <w:t>Vakil</w:t>
            </w:r>
            <w:proofErr w:type="spellEnd"/>
            <w:r>
              <w:rPr>
                <w:sz w:val="20"/>
              </w:rPr>
              <w:t>)</w:t>
            </w:r>
          </w:p>
        </w:tc>
      </w:tr>
      <w:tr w:rsidR="00AF31F2">
        <w:tc>
          <w:tcPr>
            <w:tcW w:w="9576" w:type="dxa"/>
            <w:shd w:val="clear" w:color="auto" w:fill="D9D9D9"/>
            <w:tcMar>
              <w:left w:w="108" w:type="dxa"/>
              <w:right w:w="108" w:type="dxa"/>
            </w:tcMar>
          </w:tcPr>
          <w:p w:rsidR="00AF31F2" w:rsidRDefault="00972512">
            <w:pPr>
              <w:pStyle w:val="normal0"/>
              <w:spacing w:after="0" w:line="240" w:lineRule="auto"/>
              <w:jc w:val="center"/>
            </w:pPr>
            <w:r>
              <w:rPr>
                <w:b/>
                <w:sz w:val="24"/>
              </w:rPr>
              <w:t>PHYSICAL EDUCATION (P.E.)</w:t>
            </w:r>
          </w:p>
        </w:tc>
      </w:tr>
      <w:tr w:rsidR="00AF31F2">
        <w:trPr>
          <w:trHeight w:val="200"/>
        </w:trPr>
        <w:tc>
          <w:tcPr>
            <w:tcW w:w="9576" w:type="dxa"/>
            <w:tcMar>
              <w:left w:w="108" w:type="dxa"/>
              <w:right w:w="108" w:type="dxa"/>
            </w:tcMar>
          </w:tcPr>
          <w:p w:rsidR="00AF31F2" w:rsidRDefault="00972512">
            <w:pPr>
              <w:pStyle w:val="normal0"/>
              <w:spacing w:after="0" w:line="240" w:lineRule="auto"/>
              <w:jc w:val="center"/>
            </w:pPr>
            <w:r>
              <w:rPr>
                <w:i/>
                <w:sz w:val="20"/>
              </w:rPr>
              <w:t xml:space="preserve">The Big Field </w:t>
            </w:r>
            <w:r>
              <w:rPr>
                <w:sz w:val="20"/>
              </w:rPr>
              <w:t>(</w:t>
            </w:r>
            <w:proofErr w:type="spellStart"/>
            <w:r>
              <w:rPr>
                <w:sz w:val="20"/>
              </w:rPr>
              <w:t>Lupica</w:t>
            </w:r>
            <w:proofErr w:type="spellEnd"/>
            <w:r>
              <w:rPr>
                <w:sz w:val="20"/>
              </w:rPr>
              <w:t>)</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 xml:space="preserve">Dairy Queen </w:t>
            </w:r>
            <w:r>
              <w:rPr>
                <w:sz w:val="20"/>
              </w:rPr>
              <w:t>(Murdoch)</w:t>
            </w:r>
            <w:r>
              <w:rPr>
                <w:noProof/>
              </w:rPr>
              <w:drawing>
                <wp:anchor distT="0" distB="0" distL="114300" distR="114300" simplePos="0" relativeHeight="251658240" behindDoc="0" locked="0" layoutInCell="0" allowOverlap="0">
                  <wp:simplePos x="0" y="0"/>
                  <wp:positionH relativeFrom="margin">
                    <wp:posOffset>2311400</wp:posOffset>
                  </wp:positionH>
                  <wp:positionV relativeFrom="paragraph">
                    <wp:posOffset>355600</wp:posOffset>
                  </wp:positionV>
                  <wp:extent cx="1181100" cy="279400"/>
                  <wp:effectExtent l="0" t="0" r="0" b="0"/>
                  <wp:wrapNone/>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cstate="print"/>
                          <a:srcRect/>
                          <a:stretch>
                            <a:fillRect/>
                          </a:stretch>
                        </pic:blipFill>
                        <pic:spPr>
                          <a:xfrm>
                            <a:off x="0" y="0"/>
                            <a:ext cx="1181100" cy="279400"/>
                          </a:xfrm>
                          <a:prstGeom prst="rect">
                            <a:avLst/>
                          </a:prstGeom>
                          <a:ln/>
                        </pic:spPr>
                      </pic:pic>
                    </a:graphicData>
                  </a:graphic>
                </wp:anchor>
              </w:drawing>
            </w:r>
          </w:p>
          <w:p w:rsidR="00AF31F2" w:rsidRDefault="00AF31F2">
            <w:pPr>
              <w:pStyle w:val="normal0"/>
              <w:spacing w:after="0" w:line="240" w:lineRule="auto"/>
            </w:pPr>
          </w:p>
          <w:p w:rsidR="00AF31F2" w:rsidRDefault="00AF31F2">
            <w:pPr>
              <w:pStyle w:val="normal0"/>
              <w:spacing w:after="0" w:line="240" w:lineRule="auto"/>
              <w:jc w:val="center"/>
            </w:pPr>
          </w:p>
          <w:p w:rsidR="00AF31F2" w:rsidRDefault="00AF31F2">
            <w:pPr>
              <w:pStyle w:val="normal0"/>
              <w:spacing w:after="0" w:line="240" w:lineRule="auto"/>
            </w:pPr>
          </w:p>
        </w:tc>
      </w:tr>
      <w:tr w:rsidR="00AF31F2">
        <w:tc>
          <w:tcPr>
            <w:tcW w:w="9576" w:type="dxa"/>
            <w:shd w:val="clear" w:color="auto" w:fill="D9D9D9"/>
            <w:tcMar>
              <w:left w:w="108" w:type="dxa"/>
              <w:right w:w="108" w:type="dxa"/>
            </w:tcMar>
          </w:tcPr>
          <w:p w:rsidR="00AF31F2" w:rsidRDefault="00972512">
            <w:pPr>
              <w:pStyle w:val="normal0"/>
              <w:spacing w:after="0" w:line="240" w:lineRule="auto"/>
              <w:jc w:val="center"/>
            </w:pPr>
            <w:r>
              <w:rPr>
                <w:b/>
                <w:sz w:val="24"/>
              </w:rPr>
              <w:lastRenderedPageBreak/>
              <w:t>SCIENCE</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Dr. Franklin’s Island</w:t>
            </w:r>
            <w:r>
              <w:rPr>
                <w:sz w:val="20"/>
              </w:rPr>
              <w:t xml:space="preserve"> (</w:t>
            </w:r>
            <w:proofErr w:type="spellStart"/>
            <w:r>
              <w:rPr>
                <w:sz w:val="20"/>
              </w:rPr>
              <w:t>Halam</w:t>
            </w:r>
            <w:proofErr w:type="spellEnd"/>
            <w:r>
              <w:rPr>
                <w:sz w:val="20"/>
              </w:rPr>
              <w:t>)</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 xml:space="preserve">Hunting Nature’s Fury: A Storm Chaser’s Obsession with Tornadoes, Hurricanes, and Other Disasters </w:t>
            </w:r>
            <w:r>
              <w:rPr>
                <w:sz w:val="20"/>
              </w:rPr>
              <w:t xml:space="preserve">(Hill) </w:t>
            </w:r>
          </w:p>
        </w:tc>
      </w:tr>
      <w:tr w:rsidR="00AF31F2">
        <w:tc>
          <w:tcPr>
            <w:tcW w:w="9576" w:type="dxa"/>
            <w:tcMar>
              <w:left w:w="108" w:type="dxa"/>
              <w:right w:w="108" w:type="dxa"/>
            </w:tcMar>
          </w:tcPr>
          <w:p w:rsidR="00AF31F2" w:rsidRDefault="00972512">
            <w:pPr>
              <w:pStyle w:val="normal0"/>
              <w:spacing w:after="0" w:line="240" w:lineRule="auto"/>
              <w:jc w:val="center"/>
            </w:pPr>
            <w:proofErr w:type="spellStart"/>
            <w:r>
              <w:rPr>
                <w:i/>
                <w:sz w:val="20"/>
              </w:rPr>
              <w:t>Phineas</w:t>
            </w:r>
            <w:proofErr w:type="spellEnd"/>
            <w:r>
              <w:rPr>
                <w:i/>
                <w:sz w:val="20"/>
              </w:rPr>
              <w:t xml:space="preserve"> Gage: a gruesome but true story about brain science </w:t>
            </w:r>
            <w:r>
              <w:rPr>
                <w:sz w:val="20"/>
              </w:rPr>
              <w:t>(Fleischman)</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 xml:space="preserve">Snow Bound </w:t>
            </w:r>
            <w:r>
              <w:rPr>
                <w:sz w:val="20"/>
              </w:rPr>
              <w:t>(</w:t>
            </w:r>
            <w:proofErr w:type="spellStart"/>
            <w:r>
              <w:rPr>
                <w:sz w:val="20"/>
              </w:rPr>
              <w:t>Mazer</w:t>
            </w:r>
            <w:proofErr w:type="spellEnd"/>
            <w:r>
              <w:rPr>
                <w:sz w:val="20"/>
              </w:rPr>
              <w:t>)</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 xml:space="preserve">Trapped </w:t>
            </w:r>
            <w:r>
              <w:rPr>
                <w:sz w:val="20"/>
              </w:rPr>
              <w:t>(Northrop)</w:t>
            </w:r>
          </w:p>
        </w:tc>
      </w:tr>
      <w:tr w:rsidR="00AF31F2">
        <w:tc>
          <w:tcPr>
            <w:tcW w:w="9576" w:type="dxa"/>
            <w:shd w:val="clear" w:color="auto" w:fill="D9D9D9"/>
            <w:tcMar>
              <w:left w:w="108" w:type="dxa"/>
              <w:right w:w="108" w:type="dxa"/>
            </w:tcMar>
          </w:tcPr>
          <w:p w:rsidR="00AF31F2" w:rsidRDefault="00972512">
            <w:pPr>
              <w:pStyle w:val="normal0"/>
              <w:spacing w:after="0" w:line="240" w:lineRule="auto"/>
              <w:jc w:val="center"/>
            </w:pPr>
            <w:r>
              <w:rPr>
                <w:b/>
                <w:sz w:val="24"/>
              </w:rPr>
              <w:t>SOCIAL STUDIES</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 xml:space="preserve">The Alchemist </w:t>
            </w:r>
            <w:r>
              <w:rPr>
                <w:sz w:val="20"/>
              </w:rPr>
              <w:t>(Coelho)</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 xml:space="preserve">Cortes and the Spanish Conquest </w:t>
            </w:r>
            <w:r>
              <w:rPr>
                <w:sz w:val="20"/>
              </w:rPr>
              <w:t>(Stein)</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 xml:space="preserve">Industrial Revolution: How Science &amp; Technology Changed the World </w:t>
            </w:r>
            <w:r>
              <w:rPr>
                <w:sz w:val="20"/>
              </w:rPr>
              <w:t>(Mooney)</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 xml:space="preserve">Things Fall Apart </w:t>
            </w:r>
            <w:r>
              <w:rPr>
                <w:sz w:val="20"/>
              </w:rPr>
              <w:t>(Achebe)</w:t>
            </w:r>
          </w:p>
        </w:tc>
      </w:tr>
      <w:tr w:rsidR="00AF31F2">
        <w:tc>
          <w:tcPr>
            <w:tcW w:w="9576" w:type="dxa"/>
            <w:shd w:val="clear" w:color="auto" w:fill="D9D9D9"/>
            <w:tcMar>
              <w:left w:w="108" w:type="dxa"/>
              <w:right w:w="108" w:type="dxa"/>
            </w:tcMar>
          </w:tcPr>
          <w:p w:rsidR="00AF31F2" w:rsidRDefault="00972512">
            <w:pPr>
              <w:pStyle w:val="normal0"/>
              <w:spacing w:after="0" w:line="240" w:lineRule="auto"/>
              <w:jc w:val="center"/>
            </w:pPr>
            <w:r>
              <w:rPr>
                <w:b/>
                <w:sz w:val="24"/>
              </w:rPr>
              <w:t>WORLD LANGUAGES</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A Home on the Field (</w:t>
            </w:r>
            <w:proofErr w:type="spellStart"/>
            <w:r>
              <w:rPr>
                <w:i/>
                <w:sz w:val="20"/>
              </w:rPr>
              <w:t>Cuadros</w:t>
            </w:r>
            <w:proofErr w:type="spellEnd"/>
            <w:r>
              <w:rPr>
                <w:i/>
                <w:sz w:val="20"/>
              </w:rPr>
              <w:t>)</w:t>
            </w:r>
          </w:p>
        </w:tc>
      </w:tr>
      <w:tr w:rsidR="00AF31F2">
        <w:tc>
          <w:tcPr>
            <w:tcW w:w="9576" w:type="dxa"/>
            <w:tcMar>
              <w:left w:w="108" w:type="dxa"/>
              <w:right w:w="108" w:type="dxa"/>
            </w:tcMar>
          </w:tcPr>
          <w:p w:rsidR="00AF31F2" w:rsidRDefault="00972512">
            <w:pPr>
              <w:pStyle w:val="normal0"/>
              <w:spacing w:after="0" w:line="240" w:lineRule="auto"/>
              <w:jc w:val="center"/>
            </w:pPr>
            <w:r>
              <w:rPr>
                <w:i/>
                <w:sz w:val="20"/>
              </w:rPr>
              <w:t xml:space="preserve">Swahili for Beginners </w:t>
            </w:r>
            <w:r>
              <w:rPr>
                <w:sz w:val="20"/>
              </w:rPr>
              <w:t>(</w:t>
            </w:r>
            <w:proofErr w:type="spellStart"/>
            <w:r>
              <w:rPr>
                <w:sz w:val="20"/>
              </w:rPr>
              <w:t>Joyal</w:t>
            </w:r>
            <w:proofErr w:type="spellEnd"/>
            <w:r>
              <w:rPr>
                <w:sz w:val="20"/>
              </w:rPr>
              <w:t>)</w:t>
            </w:r>
          </w:p>
          <w:p w:rsidR="00AF31F2" w:rsidRDefault="00972512">
            <w:pPr>
              <w:pStyle w:val="normal0"/>
              <w:spacing w:after="0" w:line="240" w:lineRule="auto"/>
              <w:jc w:val="center"/>
            </w:pPr>
            <w:r>
              <w:rPr>
                <w:sz w:val="20"/>
              </w:rPr>
              <w:t xml:space="preserve"> </w:t>
            </w:r>
            <w:r>
              <w:rPr>
                <w:sz w:val="16"/>
              </w:rPr>
              <w:t>This is an actual NOVEL, not a text on learning the language!</w:t>
            </w:r>
          </w:p>
        </w:tc>
      </w:tr>
    </w:tbl>
    <w:p w:rsidR="00AF31F2" w:rsidRDefault="00972512">
      <w:pPr>
        <w:pStyle w:val="normal0"/>
        <w:jc w:val="both"/>
      </w:pPr>
      <w:r>
        <w:rPr>
          <w:b/>
          <w:sz w:val="20"/>
        </w:rPr>
        <w:br/>
        <w:t>QUESTIONS ABOUT ANNOTATING THE TEXT:</w:t>
      </w:r>
    </w:p>
    <w:p w:rsidR="00AF31F2" w:rsidRDefault="00972512">
      <w:pPr>
        <w:pStyle w:val="normal0"/>
        <w:numPr>
          <w:ilvl w:val="0"/>
          <w:numId w:val="2"/>
        </w:numPr>
        <w:ind w:hanging="359"/>
        <w:contextualSpacing/>
        <w:jc w:val="both"/>
        <w:rPr>
          <w:sz w:val="20"/>
        </w:rPr>
      </w:pPr>
      <w:r>
        <w:rPr>
          <w:b/>
          <w:sz w:val="20"/>
        </w:rPr>
        <w:t>What is annotating?</w:t>
      </w:r>
    </w:p>
    <w:p w:rsidR="00AF31F2" w:rsidRDefault="00972512">
      <w:pPr>
        <w:pStyle w:val="normal0"/>
        <w:ind w:left="720"/>
        <w:jc w:val="both"/>
      </w:pPr>
      <w:proofErr w:type="gramStart"/>
      <w:r>
        <w:rPr>
          <w:sz w:val="20"/>
        </w:rPr>
        <w:t>A way that readers track their responses to various texts.</w:t>
      </w:r>
      <w:proofErr w:type="gramEnd"/>
    </w:p>
    <w:p w:rsidR="00AF31F2" w:rsidRDefault="00972512">
      <w:pPr>
        <w:pStyle w:val="normal0"/>
        <w:numPr>
          <w:ilvl w:val="0"/>
          <w:numId w:val="2"/>
        </w:numPr>
        <w:ind w:hanging="359"/>
        <w:contextualSpacing/>
        <w:jc w:val="both"/>
        <w:rPr>
          <w:sz w:val="20"/>
        </w:rPr>
      </w:pPr>
      <w:r>
        <w:rPr>
          <w:b/>
          <w:sz w:val="20"/>
        </w:rPr>
        <w:t>Why do we annotate?</w:t>
      </w:r>
    </w:p>
    <w:p w:rsidR="00AF31F2" w:rsidRDefault="00972512">
      <w:pPr>
        <w:pStyle w:val="normal0"/>
        <w:ind w:left="720"/>
        <w:jc w:val="both"/>
      </w:pPr>
      <w:r>
        <w:rPr>
          <w:sz w:val="20"/>
        </w:rPr>
        <w:t>So we can refer back to our ideas when we are asked to write and talk about text.</w:t>
      </w:r>
    </w:p>
    <w:p w:rsidR="00AF31F2" w:rsidRDefault="00972512">
      <w:pPr>
        <w:pStyle w:val="normal0"/>
        <w:numPr>
          <w:ilvl w:val="0"/>
          <w:numId w:val="2"/>
        </w:numPr>
        <w:ind w:hanging="359"/>
        <w:contextualSpacing/>
        <w:jc w:val="both"/>
        <w:rPr>
          <w:sz w:val="20"/>
        </w:rPr>
      </w:pPr>
      <w:r>
        <w:rPr>
          <w:b/>
          <w:sz w:val="20"/>
        </w:rPr>
        <w:t>How do we annotate?</w:t>
      </w:r>
    </w:p>
    <w:p w:rsidR="00AF31F2" w:rsidRDefault="00972512">
      <w:pPr>
        <w:pStyle w:val="normal0"/>
        <w:ind w:left="720"/>
        <w:jc w:val="both"/>
      </w:pPr>
      <w:r>
        <w:rPr>
          <w:sz w:val="20"/>
        </w:rPr>
        <w:t>At Community House, we use the following simple system of annotations at each grade level:</w:t>
      </w:r>
    </w:p>
    <w:p w:rsidR="00AF31F2" w:rsidRDefault="00AF31F2">
      <w:pPr>
        <w:pStyle w:val="normal0"/>
        <w:ind w:left="720"/>
        <w:jc w:val="both"/>
      </w:pPr>
    </w:p>
    <w:tbl>
      <w:tblPr>
        <w:tblStyle w:val="a0"/>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75"/>
        <w:gridCol w:w="7385"/>
      </w:tblGrid>
      <w:tr w:rsidR="00AF31F2">
        <w:tc>
          <w:tcPr>
            <w:tcW w:w="1775" w:type="dxa"/>
            <w:tcMar>
              <w:left w:w="100" w:type="dxa"/>
              <w:right w:w="100" w:type="dxa"/>
            </w:tcMar>
          </w:tcPr>
          <w:p w:rsidR="00AF31F2" w:rsidRDefault="00972512">
            <w:pPr>
              <w:pStyle w:val="normal0"/>
              <w:jc w:val="center"/>
            </w:pPr>
            <w:r>
              <w:rPr>
                <w:b/>
                <w:sz w:val="20"/>
              </w:rPr>
              <w:t>ANNOTATION MARK OR SYMBOL</w:t>
            </w:r>
          </w:p>
        </w:tc>
        <w:tc>
          <w:tcPr>
            <w:tcW w:w="7385" w:type="dxa"/>
            <w:tcMar>
              <w:left w:w="100" w:type="dxa"/>
              <w:right w:w="100" w:type="dxa"/>
            </w:tcMar>
          </w:tcPr>
          <w:p w:rsidR="00AF31F2" w:rsidRDefault="00972512">
            <w:pPr>
              <w:pStyle w:val="normal0"/>
              <w:jc w:val="center"/>
            </w:pPr>
            <w:r>
              <w:rPr>
                <w:b/>
                <w:sz w:val="20"/>
              </w:rPr>
              <w:t>PURPOSE</w:t>
            </w:r>
          </w:p>
        </w:tc>
      </w:tr>
      <w:tr w:rsidR="00AF31F2">
        <w:tc>
          <w:tcPr>
            <w:tcW w:w="1775" w:type="dxa"/>
            <w:tcMar>
              <w:left w:w="100" w:type="dxa"/>
              <w:right w:w="100" w:type="dxa"/>
            </w:tcMar>
          </w:tcPr>
          <w:p w:rsidR="00AF31F2" w:rsidRDefault="00972512">
            <w:pPr>
              <w:pStyle w:val="normal0"/>
              <w:jc w:val="center"/>
            </w:pPr>
            <w:r>
              <w:rPr>
                <w:i/>
                <w:sz w:val="20"/>
              </w:rPr>
              <w:t>?</w:t>
            </w:r>
          </w:p>
        </w:tc>
        <w:tc>
          <w:tcPr>
            <w:tcW w:w="7385" w:type="dxa"/>
            <w:tcMar>
              <w:left w:w="100" w:type="dxa"/>
              <w:right w:w="100" w:type="dxa"/>
            </w:tcMar>
          </w:tcPr>
          <w:p w:rsidR="00AF31F2" w:rsidRDefault="00972512">
            <w:pPr>
              <w:pStyle w:val="normal0"/>
              <w:jc w:val="center"/>
            </w:pPr>
            <w:r>
              <w:rPr>
                <w:i/>
                <w:sz w:val="20"/>
              </w:rPr>
              <w:t>For questions you have ab</w:t>
            </w:r>
            <w:r>
              <w:rPr>
                <w:i/>
                <w:sz w:val="20"/>
              </w:rPr>
              <w:t>out text</w:t>
            </w:r>
          </w:p>
        </w:tc>
      </w:tr>
      <w:tr w:rsidR="00AF31F2">
        <w:tc>
          <w:tcPr>
            <w:tcW w:w="1775" w:type="dxa"/>
            <w:tcMar>
              <w:left w:w="100" w:type="dxa"/>
              <w:right w:w="100" w:type="dxa"/>
            </w:tcMar>
          </w:tcPr>
          <w:p w:rsidR="00AF31F2" w:rsidRDefault="00972512">
            <w:pPr>
              <w:pStyle w:val="normal0"/>
              <w:jc w:val="center"/>
            </w:pPr>
            <w:r>
              <w:rPr>
                <w:i/>
                <w:sz w:val="20"/>
              </w:rPr>
              <w:t>!</w:t>
            </w:r>
          </w:p>
        </w:tc>
        <w:tc>
          <w:tcPr>
            <w:tcW w:w="7385" w:type="dxa"/>
            <w:tcMar>
              <w:left w:w="100" w:type="dxa"/>
              <w:right w:w="100" w:type="dxa"/>
            </w:tcMar>
          </w:tcPr>
          <w:p w:rsidR="00AF31F2" w:rsidRDefault="00972512">
            <w:pPr>
              <w:pStyle w:val="normal0"/>
              <w:jc w:val="center"/>
            </w:pPr>
            <w:r>
              <w:rPr>
                <w:i/>
                <w:sz w:val="20"/>
              </w:rPr>
              <w:t>For reactions related to the text</w:t>
            </w:r>
          </w:p>
        </w:tc>
      </w:tr>
      <w:tr w:rsidR="00AF31F2">
        <w:tc>
          <w:tcPr>
            <w:tcW w:w="1775" w:type="dxa"/>
            <w:tcMar>
              <w:left w:w="100" w:type="dxa"/>
              <w:right w:w="100" w:type="dxa"/>
            </w:tcMar>
          </w:tcPr>
          <w:p w:rsidR="00AF31F2" w:rsidRDefault="00972512">
            <w:pPr>
              <w:pStyle w:val="normal0"/>
              <w:jc w:val="center"/>
            </w:pPr>
            <w:r>
              <w:rPr>
                <w:i/>
                <w:sz w:val="20"/>
              </w:rPr>
              <w:t>*</w:t>
            </w:r>
          </w:p>
        </w:tc>
        <w:tc>
          <w:tcPr>
            <w:tcW w:w="7385" w:type="dxa"/>
            <w:tcMar>
              <w:left w:w="100" w:type="dxa"/>
              <w:right w:w="100" w:type="dxa"/>
            </w:tcMar>
          </w:tcPr>
          <w:p w:rsidR="00AF31F2" w:rsidRDefault="00972512">
            <w:pPr>
              <w:pStyle w:val="normal0"/>
              <w:jc w:val="center"/>
            </w:pPr>
            <w:r>
              <w:rPr>
                <w:i/>
                <w:sz w:val="20"/>
              </w:rPr>
              <w:t>For comments about the text</w:t>
            </w:r>
          </w:p>
        </w:tc>
      </w:tr>
      <w:tr w:rsidR="00AF31F2">
        <w:tc>
          <w:tcPr>
            <w:tcW w:w="1775" w:type="dxa"/>
            <w:tcMar>
              <w:left w:w="100" w:type="dxa"/>
              <w:right w:w="100" w:type="dxa"/>
            </w:tcMar>
          </w:tcPr>
          <w:p w:rsidR="00AF31F2" w:rsidRDefault="00972512">
            <w:pPr>
              <w:pStyle w:val="normal0"/>
              <w:jc w:val="center"/>
            </w:pPr>
            <w:r>
              <w:rPr>
                <w:i/>
                <w:sz w:val="20"/>
              </w:rPr>
              <w:t>Underlining</w:t>
            </w:r>
          </w:p>
        </w:tc>
        <w:tc>
          <w:tcPr>
            <w:tcW w:w="7385" w:type="dxa"/>
            <w:tcMar>
              <w:left w:w="100" w:type="dxa"/>
              <w:right w:w="100" w:type="dxa"/>
            </w:tcMar>
          </w:tcPr>
          <w:p w:rsidR="00AF31F2" w:rsidRDefault="00972512">
            <w:pPr>
              <w:pStyle w:val="normal0"/>
              <w:jc w:val="center"/>
            </w:pPr>
            <w:r>
              <w:rPr>
                <w:i/>
                <w:sz w:val="20"/>
              </w:rPr>
              <w:t>To signal key ideas in the text</w:t>
            </w:r>
          </w:p>
        </w:tc>
      </w:tr>
      <w:tr w:rsidR="00AF31F2">
        <w:tc>
          <w:tcPr>
            <w:tcW w:w="1775" w:type="dxa"/>
            <w:tcMar>
              <w:left w:w="100" w:type="dxa"/>
              <w:right w:w="100" w:type="dxa"/>
            </w:tcMar>
          </w:tcPr>
          <w:p w:rsidR="00AF31F2" w:rsidRDefault="00972512">
            <w:pPr>
              <w:pStyle w:val="normal0"/>
              <w:jc w:val="center"/>
            </w:pPr>
            <w:r>
              <w:rPr>
                <w:i/>
                <w:sz w:val="20"/>
              </w:rPr>
              <w:t>NOTES!</w:t>
            </w:r>
          </w:p>
        </w:tc>
        <w:tc>
          <w:tcPr>
            <w:tcW w:w="7385" w:type="dxa"/>
            <w:tcMar>
              <w:left w:w="100" w:type="dxa"/>
              <w:right w:w="100" w:type="dxa"/>
            </w:tcMar>
          </w:tcPr>
          <w:p w:rsidR="00AF31F2" w:rsidRDefault="00972512">
            <w:pPr>
              <w:pStyle w:val="normal0"/>
              <w:jc w:val="center"/>
            </w:pPr>
            <w:r>
              <w:rPr>
                <w:i/>
                <w:sz w:val="20"/>
              </w:rPr>
              <w:t xml:space="preserve">WE HIGHLY ENCOURAGE YOU </w:t>
            </w:r>
            <w:proofErr w:type="gramStart"/>
            <w:r>
              <w:rPr>
                <w:i/>
                <w:sz w:val="20"/>
              </w:rPr>
              <w:t>TO  WRITE</w:t>
            </w:r>
            <w:proofErr w:type="gramEnd"/>
            <w:r>
              <w:rPr>
                <w:i/>
                <w:sz w:val="20"/>
              </w:rPr>
              <w:t xml:space="preserve"> NOTES IN RESPONSE TO IDEAS PRESENTED IN EACH TEXT.</w:t>
            </w:r>
          </w:p>
        </w:tc>
      </w:tr>
    </w:tbl>
    <w:p w:rsidR="00AF31F2" w:rsidRDefault="00AF31F2">
      <w:pPr>
        <w:pStyle w:val="normal0"/>
        <w:ind w:left="720"/>
        <w:jc w:val="both"/>
      </w:pPr>
    </w:p>
    <w:p w:rsidR="00AF31F2" w:rsidRDefault="00972512">
      <w:pPr>
        <w:pStyle w:val="normal0"/>
        <w:ind w:left="720"/>
        <w:jc w:val="both"/>
      </w:pPr>
      <w:r>
        <w:rPr>
          <w:sz w:val="20"/>
        </w:rPr>
        <w:tab/>
      </w:r>
    </w:p>
    <w:p w:rsidR="00AF31F2" w:rsidRDefault="00972512">
      <w:pPr>
        <w:pStyle w:val="normal0"/>
        <w:numPr>
          <w:ilvl w:val="0"/>
          <w:numId w:val="2"/>
        </w:numPr>
        <w:tabs>
          <w:tab w:val="left" w:pos="2985"/>
        </w:tabs>
        <w:ind w:hanging="359"/>
        <w:contextualSpacing/>
        <w:jc w:val="both"/>
        <w:rPr>
          <w:sz w:val="20"/>
        </w:rPr>
      </w:pPr>
      <w:r>
        <w:rPr>
          <w:b/>
          <w:sz w:val="20"/>
        </w:rPr>
        <w:t>When do we annotate?</w:t>
      </w:r>
    </w:p>
    <w:p w:rsidR="00AF31F2" w:rsidRDefault="00972512">
      <w:pPr>
        <w:pStyle w:val="normal0"/>
        <w:tabs>
          <w:tab w:val="left" w:pos="2985"/>
        </w:tabs>
        <w:ind w:left="720"/>
      </w:pPr>
      <w:r>
        <w:rPr>
          <w:sz w:val="20"/>
        </w:rPr>
        <w:lastRenderedPageBreak/>
        <w:t>You only need to annotate when something strikes you as important or particularly meaningful, especially if you already know what the focus of your reading should be (in the case of summer reading, you should annotate the text when you come across ideas or</w:t>
      </w:r>
      <w:r>
        <w:rPr>
          <w:sz w:val="20"/>
        </w:rPr>
        <w:t xml:space="preserve"> information that “speak” to the concept of choice).</w:t>
      </w:r>
    </w:p>
    <w:p w:rsidR="00AF31F2" w:rsidRDefault="00AF31F2">
      <w:pPr>
        <w:pStyle w:val="normal0"/>
        <w:tabs>
          <w:tab w:val="left" w:pos="2985"/>
        </w:tabs>
        <w:ind w:left="720"/>
        <w:jc w:val="both"/>
      </w:pPr>
    </w:p>
    <w:p w:rsidR="00AF31F2" w:rsidRDefault="00972512">
      <w:pPr>
        <w:pStyle w:val="normal0"/>
        <w:numPr>
          <w:ilvl w:val="0"/>
          <w:numId w:val="2"/>
        </w:numPr>
        <w:tabs>
          <w:tab w:val="left" w:pos="2985"/>
        </w:tabs>
        <w:ind w:hanging="359"/>
        <w:contextualSpacing/>
        <w:jc w:val="both"/>
        <w:rPr>
          <w:sz w:val="20"/>
        </w:rPr>
      </w:pPr>
      <w:r>
        <w:rPr>
          <w:b/>
          <w:sz w:val="20"/>
        </w:rPr>
        <w:t>What does annotating look like?</w:t>
      </w:r>
    </w:p>
    <w:p w:rsidR="00AF31F2" w:rsidRDefault="00972512">
      <w:pPr>
        <w:pStyle w:val="normal0"/>
        <w:tabs>
          <w:tab w:val="left" w:pos="2985"/>
        </w:tabs>
        <w:ind w:left="720"/>
        <w:jc w:val="both"/>
      </w:pPr>
      <w:r>
        <w:rPr>
          <w:i/>
          <w:sz w:val="20"/>
        </w:rPr>
        <w:t xml:space="preserve">Here are samples from one student’s annotations while reading </w:t>
      </w:r>
      <w:r>
        <w:rPr>
          <w:i/>
          <w:sz w:val="20"/>
          <w:u w:val="single"/>
        </w:rPr>
        <w:t>Michael Jordan: Legends in Sports</w:t>
      </w:r>
      <w:r>
        <w:rPr>
          <w:i/>
          <w:sz w:val="20"/>
        </w:rPr>
        <w:t>, by Matt Christopher (2008):</w:t>
      </w:r>
    </w:p>
    <w:p w:rsidR="00AF31F2" w:rsidRDefault="00972512">
      <w:pPr>
        <w:pStyle w:val="normal0"/>
        <w:numPr>
          <w:ilvl w:val="0"/>
          <w:numId w:val="1"/>
        </w:numPr>
        <w:tabs>
          <w:tab w:val="left" w:pos="2985"/>
        </w:tabs>
        <w:ind w:hanging="359"/>
        <w:contextualSpacing/>
        <w:jc w:val="both"/>
        <w:rPr>
          <w:sz w:val="20"/>
        </w:rPr>
      </w:pPr>
      <w:r>
        <w:rPr>
          <w:b/>
        </w:rPr>
        <w:t>?</w:t>
      </w:r>
      <w:r>
        <w:rPr>
          <w:sz w:val="20"/>
        </w:rPr>
        <w:t xml:space="preserve"> - How will this situation (or event) impact or choice Michael Jordan’s life?</w:t>
      </w:r>
    </w:p>
    <w:p w:rsidR="00AF31F2" w:rsidRDefault="00972512">
      <w:pPr>
        <w:pStyle w:val="normal0"/>
        <w:numPr>
          <w:ilvl w:val="0"/>
          <w:numId w:val="1"/>
        </w:numPr>
        <w:tabs>
          <w:tab w:val="left" w:pos="2985"/>
        </w:tabs>
        <w:ind w:hanging="359"/>
        <w:contextualSpacing/>
        <w:jc w:val="both"/>
        <w:rPr>
          <w:sz w:val="20"/>
        </w:rPr>
      </w:pPr>
      <w:r>
        <w:rPr>
          <w:b/>
        </w:rPr>
        <w:t>!</w:t>
      </w:r>
      <w:r>
        <w:rPr>
          <w:sz w:val="20"/>
        </w:rPr>
        <w:t xml:space="preserve"> – I can’t believe that Michael Jordan didn’t make the team in high school!</w:t>
      </w:r>
    </w:p>
    <w:p w:rsidR="00AF31F2" w:rsidRDefault="00972512">
      <w:pPr>
        <w:pStyle w:val="normal0"/>
        <w:numPr>
          <w:ilvl w:val="0"/>
          <w:numId w:val="1"/>
        </w:numPr>
        <w:tabs>
          <w:tab w:val="left" w:pos="2985"/>
        </w:tabs>
        <w:ind w:hanging="359"/>
        <w:contextualSpacing/>
        <w:jc w:val="both"/>
        <w:rPr>
          <w:sz w:val="20"/>
        </w:rPr>
      </w:pPr>
      <w:r>
        <w:rPr>
          <w:b/>
        </w:rPr>
        <w:t>*</w:t>
      </w:r>
      <w:r>
        <w:rPr>
          <w:sz w:val="20"/>
        </w:rPr>
        <w:t xml:space="preserve"> - His decision to continue playing basketball would’ve been tough, but it changed his life (and the</w:t>
      </w:r>
      <w:r>
        <w:rPr>
          <w:sz w:val="20"/>
        </w:rPr>
        <w:t xml:space="preserve"> sport of basketball) forever.</w:t>
      </w:r>
    </w:p>
    <w:p w:rsidR="00AF31F2" w:rsidRDefault="00972512">
      <w:pPr>
        <w:pStyle w:val="normal0"/>
        <w:numPr>
          <w:ilvl w:val="0"/>
          <w:numId w:val="1"/>
        </w:numPr>
        <w:tabs>
          <w:tab w:val="left" w:pos="2985"/>
        </w:tabs>
        <w:ind w:hanging="359"/>
        <w:contextualSpacing/>
        <w:jc w:val="both"/>
        <w:rPr>
          <w:sz w:val="20"/>
        </w:rPr>
      </w:pPr>
      <w:r>
        <w:rPr>
          <w:b/>
          <w:sz w:val="20"/>
        </w:rPr>
        <w:t>(underlining important ideas)</w:t>
      </w:r>
      <w:r>
        <w:rPr>
          <w:sz w:val="20"/>
        </w:rPr>
        <w:t xml:space="preserve"> – </w:t>
      </w:r>
      <w:r>
        <w:rPr>
          <w:sz w:val="20"/>
          <w:u w:val="single"/>
        </w:rPr>
        <w:t>“Michael learned quickly that he would have to earn each victory.”</w:t>
      </w:r>
    </w:p>
    <w:sectPr w:rsidR="00AF31F2" w:rsidSect="00AF31F2">
      <w:head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1F2" w:rsidRDefault="00AF31F2" w:rsidP="00AF31F2">
      <w:pPr>
        <w:spacing w:after="0" w:line="240" w:lineRule="auto"/>
      </w:pPr>
      <w:r>
        <w:separator/>
      </w:r>
    </w:p>
  </w:endnote>
  <w:endnote w:type="continuationSeparator" w:id="0">
    <w:p w:rsidR="00AF31F2" w:rsidRDefault="00AF31F2" w:rsidP="00AF3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1F2" w:rsidRDefault="00AF31F2" w:rsidP="00AF31F2">
      <w:pPr>
        <w:spacing w:after="0" w:line="240" w:lineRule="auto"/>
      </w:pPr>
      <w:r>
        <w:separator/>
      </w:r>
    </w:p>
  </w:footnote>
  <w:footnote w:type="continuationSeparator" w:id="0">
    <w:p w:rsidR="00AF31F2" w:rsidRDefault="00AF31F2" w:rsidP="00AF3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F2" w:rsidRDefault="00972512">
    <w:pPr>
      <w:pStyle w:val="normal0"/>
      <w:tabs>
        <w:tab w:val="center" w:pos="4680"/>
        <w:tab w:val="right" w:pos="9360"/>
      </w:tabs>
      <w:spacing w:after="0" w:line="240" w:lineRule="auto"/>
      <w:jc w:val="center"/>
    </w:pPr>
    <w:r>
      <w:rPr>
        <w:rFonts w:ascii="Cambria" w:eastAsia="Cambria" w:hAnsi="Cambria" w:cs="Cambria"/>
        <w:sz w:val="32"/>
      </w:rPr>
      <w:t>CHMS - Rising 7th Graders’ Summer Reading Assignment 2014</w:t>
    </w:r>
  </w:p>
  <w:p w:rsidR="00AF31F2" w:rsidRDefault="00AF31F2">
    <w:pPr>
      <w:pStyle w:val="normal0"/>
      <w:tabs>
        <w:tab w:val="center" w:pos="4680"/>
        <w:tab w:val="right" w:pos="936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57762"/>
    <w:multiLevelType w:val="multilevel"/>
    <w:tmpl w:val="5F0AA1B8"/>
    <w:lvl w:ilvl="0">
      <w:start w:val="1"/>
      <w:numFmt w:val="decimal"/>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C3F003D"/>
    <w:multiLevelType w:val="multilevel"/>
    <w:tmpl w:val="B6CC595A"/>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32F1A66"/>
    <w:multiLevelType w:val="multilevel"/>
    <w:tmpl w:val="F6E2EAF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AF31F2"/>
    <w:rsid w:val="00972512"/>
    <w:rsid w:val="00AF31F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F31F2"/>
    <w:pPr>
      <w:keepNext/>
      <w:keepLines/>
      <w:spacing w:before="480" w:after="120"/>
      <w:contextualSpacing/>
      <w:outlineLvl w:val="0"/>
    </w:pPr>
    <w:rPr>
      <w:b/>
      <w:sz w:val="48"/>
    </w:rPr>
  </w:style>
  <w:style w:type="paragraph" w:styleId="Heading2">
    <w:name w:val="heading 2"/>
    <w:basedOn w:val="normal0"/>
    <w:next w:val="normal0"/>
    <w:rsid w:val="00AF31F2"/>
    <w:pPr>
      <w:keepNext/>
      <w:keepLines/>
      <w:spacing w:before="360" w:after="80"/>
      <w:contextualSpacing/>
      <w:outlineLvl w:val="1"/>
    </w:pPr>
    <w:rPr>
      <w:b/>
      <w:sz w:val="36"/>
    </w:rPr>
  </w:style>
  <w:style w:type="paragraph" w:styleId="Heading3">
    <w:name w:val="heading 3"/>
    <w:basedOn w:val="normal0"/>
    <w:next w:val="normal0"/>
    <w:rsid w:val="00AF31F2"/>
    <w:pPr>
      <w:keepNext/>
      <w:keepLines/>
      <w:spacing w:before="280" w:after="80"/>
      <w:contextualSpacing/>
      <w:outlineLvl w:val="2"/>
    </w:pPr>
    <w:rPr>
      <w:b/>
      <w:sz w:val="28"/>
    </w:rPr>
  </w:style>
  <w:style w:type="paragraph" w:styleId="Heading4">
    <w:name w:val="heading 4"/>
    <w:basedOn w:val="normal0"/>
    <w:next w:val="normal0"/>
    <w:rsid w:val="00AF31F2"/>
    <w:pPr>
      <w:keepNext/>
      <w:keepLines/>
      <w:spacing w:before="240" w:after="40"/>
      <w:contextualSpacing/>
      <w:outlineLvl w:val="3"/>
    </w:pPr>
    <w:rPr>
      <w:b/>
      <w:sz w:val="24"/>
    </w:rPr>
  </w:style>
  <w:style w:type="paragraph" w:styleId="Heading5">
    <w:name w:val="heading 5"/>
    <w:basedOn w:val="normal0"/>
    <w:next w:val="normal0"/>
    <w:rsid w:val="00AF31F2"/>
    <w:pPr>
      <w:keepNext/>
      <w:keepLines/>
      <w:spacing w:before="220" w:after="40"/>
      <w:contextualSpacing/>
      <w:outlineLvl w:val="4"/>
    </w:pPr>
    <w:rPr>
      <w:b/>
    </w:rPr>
  </w:style>
  <w:style w:type="paragraph" w:styleId="Heading6">
    <w:name w:val="heading 6"/>
    <w:basedOn w:val="normal0"/>
    <w:next w:val="normal0"/>
    <w:rsid w:val="00AF31F2"/>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31F2"/>
  </w:style>
  <w:style w:type="paragraph" w:styleId="Title">
    <w:name w:val="Title"/>
    <w:basedOn w:val="normal0"/>
    <w:next w:val="normal0"/>
    <w:rsid w:val="00AF31F2"/>
    <w:pPr>
      <w:keepNext/>
      <w:keepLines/>
      <w:spacing w:before="480" w:after="120"/>
      <w:contextualSpacing/>
    </w:pPr>
    <w:rPr>
      <w:b/>
      <w:sz w:val="72"/>
    </w:rPr>
  </w:style>
  <w:style w:type="paragraph" w:styleId="Subtitle">
    <w:name w:val="Subtitle"/>
    <w:basedOn w:val="normal0"/>
    <w:next w:val="normal0"/>
    <w:rsid w:val="00AF31F2"/>
    <w:pPr>
      <w:keepNext/>
      <w:keepLines/>
      <w:spacing w:before="360" w:after="80"/>
      <w:contextualSpacing/>
    </w:pPr>
    <w:rPr>
      <w:rFonts w:ascii="Georgia" w:eastAsia="Georgia" w:hAnsi="Georgia" w:cs="Georgia"/>
      <w:i/>
      <w:color w:val="666666"/>
      <w:sz w:val="48"/>
    </w:rPr>
  </w:style>
  <w:style w:type="table" w:customStyle="1" w:styleId="a">
    <w:basedOn w:val="TableNormal"/>
    <w:rsid w:val="00AF31F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F31F2"/>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4163</Characters>
  <Application>Microsoft Office Word</Application>
  <DocSecurity>4</DocSecurity>
  <Lines>34</Lines>
  <Paragraphs>9</Paragraphs>
  <ScaleCrop>false</ScaleCrop>
  <Company>Charlotte Mecklenburg Schools</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Titles_7th.docx</dc:title>
  <cp:lastModifiedBy>CMS</cp:lastModifiedBy>
  <cp:revision>2</cp:revision>
  <dcterms:created xsi:type="dcterms:W3CDTF">2014-05-14T19:58:00Z</dcterms:created>
  <dcterms:modified xsi:type="dcterms:W3CDTF">2014-05-14T19:58:00Z</dcterms:modified>
</cp:coreProperties>
</file>